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20 164 vom 23. November 2020</w:t>
      </w:r>
    </w:p>
    <w:p>
      <w:r>
        <w:t>VS Kantonsgericht, 2020-11-23, FR</w:t>
      </w:r>
    </w:p>
    <w:p>
      <w:r>
        <w:rPr>
          <w:b/>
        </w:rPr>
        <w:t xml:space="preserve">Quelle: </w:t>
      </w:r>
      <w:r>
        <w:t>https://mcp.opencaselaw.ch/entscheid/vs_gerichte_C3 20 164</w:t>
      </w:r>
    </w:p>
    <w:p>
      <w:r>
        <w:t>FR: VS_GERICHTE C3 20 164 du 23 novembre 2020</w:t>
      </w:r>
    </w:p>
    <w:p>
      <w:r>
        <w:t>IT: VS_GERICHTE C3 20 164 del 23 novembre 2020</w:t>
      </w:r>
    </w:p>
    <w:p>
      <w:pPr>
        <w:pStyle w:val="Heading2"/>
      </w:pPr>
      <w:r>
        <w:t>Regeste</w:t>
      </w:r>
    </w:p>
    <w:p>
      <w:r>
        <w:t>RVJ / ZWR 2022 145 Procédure civile - Capacité de postuler de l'avocat - ATC (Chambre civile) du 23 novembre 2020, X. SA contre Y. Sàrl - C3 20 164 Art. 12 let. c LLCA : conflits d'intérêts - L'avocat doit éviter tout conflit entre les intérêts de son client et ceux des personnes avec lesquelles il est en relation sur le plan professionnel ou privé (art. 12 let. c LLCA). Rappel des principes à ce sujet (consid. 4.3). - L'avocat a notamment le devoir d'éviter la double représentation, c'est-à-dire le cas où il serait amené à défendre les intérêts opposés de deux parties à la fois. Le conseil en faveur de deux ou plusieurs parties est par contre admis lorsque leurs intérêts sont convergents, même s'ils sont potentiellement opposés (consid. 4.3). - L'avocat qui a conseillé deux parties ne peut pas ensuite attaquer l'une d'elles, pour l'autre partie ou des tiers, dans une affaire en lien avec celle pour laquelle il a prodigué des conseils (consid. 4.3) - Le fait que l'avocat puisse refuser de collaborer en invoquant le secret professionnel (cf. art. 166 al. 1 let. b CPC) est sans incidence sur son obligation de renoncer à son mandat lorsqu'il doit être entendu comme témoin dans la procédure (consid. 4.4.2).</w:t>
      </w:r>
    </w:p>
    <w:p>
      <w:pPr>
        <w:pStyle w:val="Heading2"/>
      </w:pPr>
      <w:r>
        <w:t>Erwägungen</w:t>
      </w:r>
    </w:p>
    <w:p>
      <w:r>
        <w:rPr>
          <w:b/>
        </w:rPr>
        <w:t>E. 1.1</w:t>
      </w:r>
    </w:p>
    <w:p>
      <w:r>
        <w:t>L’appel est recevable contre les décisions finales et les décisions incidentes de première instance si, dans les affaires patrimoniales, la valeur litigieuse au dernier état des conclusions est de 10'000 fr. au moins (art. 308 al. 1 let. a et al. 2 CPC). Seul le recours est recevable contre les "autres décisions" et les ordonnances d’instruction de première instance dans les cas prévus par la loi (art. 319 let. b ch. 1 CPC) ou lorsqu’elles peuvent causer un dommage difficilement réparable (art. 319 let. b ch. 2 CPC). La décision attaquée, par laquelle le juge de district a dénié la capacité de postuler de Me Y _________ dans la cause XXX C1 20 xx, constitue une ordonnance d’instruction au sens de l’article 319 lettre b CPC. Le code ne prévoit pas qu’une telle décision puisse faire l’objet d’un recours, si bien que celui-ci n’est recevable que si la décision attaquée est susceptible de causer au recourant un préjudice difficilement réparable. Il appartient à celui-ci d'alléguer (BRUNNER, Kurzkommentar, Schweizerische Zivilprozessordnung, 2014, n. 12 ad art. 319 CPC) et d'établir la possibilité que la décision lui cause un dommage difficilement réparable, à moins que celui-ci ne fasse d’emblée aucun doute (SPÜHLER, Commentaire bâlois, 2017, n. 14 ad art. 319 CPC; cf. également arrêt 5A_300/2014 du 21 mai 2014 consid. 1.3 et les réf.; SPÜHLER/DOLGE/GEHRI, Schweizerisches Zivilprozessrecht, 2010, § 57 n° 77). Selon le Tribunal fédéral, l’interdiction faite à un avocat de procéder en justice cause, à lui-même et à son client, un préjudice irréparable au sens de l’article 93 alinéa 1 lettre a LTF, de sorte qu’elle leur cause à plus forte raison un préjudice difficilement réparable au sens de l’article 319 let. b ch. 2 CPC (arrêt 4D_58/2014 du 17 octobre 2014 consid. 1.3). Le recours formé céans est dès lors recevable, aussi bien en tant qu'il est interjeté</w:t>
      </w:r>
    </w:p>
    <w:p>
      <w:r>
        <w:t>- 8 - par X _________ SA qu'il l'est par Me Y _________. Il a par ailleurs été introduit en temps utile (art. 321 CPC).</w:t>
      </w:r>
    </w:p>
    <w:p>
      <w:r>
        <w:rPr>
          <w:b/>
        </w:rPr>
        <w:t>E. 1.2</w:t>
      </w:r>
    </w:p>
    <w:p>
      <w:r>
        <w:t>Suivant l’article 320 CPC, le recours est recevable pour violation du droit (let. a) et constatation manifestement inexacte des faits (let. b). L’autorité de recours traite avec une pleine cognition les griefs pris de la mauvaise application du droit - fédéral, cantonal ou étranger - par le juge de première instance (FREIBURGHAUS/AFHELDT, in Sutter-Somm/Hasenböhler/Leuenberger [édit.], Kom- mentar zur Schweizerischen Zivilprozessordnung, 3e éd., 2016, n. 3 sv. ad art. 320 CPC). Son examen se limite toutefois aux seuls moyens invoqués (HOHL, Procédure civile, t. II, 2e éd., 2010, nos 2514 et 3024). Elle peut également rejeter un recours en substituant ses motifs à ceux de la décision attaquée (arrêt 2C_124/2013 du 25 novembre 2013 consid. 2.2.2; HOHL, op. cit., no 2267). L’autorité de recours ne censure en revanche la constatation des faits que si ceux-ci ont été établis de manière arbitraire (art. 9 Cst. féd.; FREIBURGHAUS/AFHELDT, n. 5 ad art. 320 CPC). Cette notion correspond à celle de l’article 97 al. 1 LTF, de sorte que l’on peut se référer à la jurisprudence rendue en application de cette disposition (HOHL, op. cit., no 2509).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(ATF 140 III 264 consid. 2.3).</w:t>
      </w:r>
    </w:p>
    <w:p>
      <w:r>
        <w:rPr>
          <w:b/>
        </w:rPr>
        <w:t>E. 2</w:t>
      </w:r>
    </w:p>
    <w:p>
      <w:r>
        <w:t>Les recourants soutiennent que le juge de district a commis une violation de leur droit d'être entendu, ancré à l'article 29 al. 2 Cst. féd. et repris à l'article 53 CPC, au motif que le premier juge a communiqué les répliques des parties en même temps que la décision attaquée.</w:t>
      </w:r>
    </w:p>
    <w:p>
      <w:r>
        <w:t>Il n'y a quoi qu'il en soit pas lieu à annulation de la décision en raison d'une telle violation, puisque les recourants, bien qu'ils l'énoncent, renoncent pourtant expressément à s'en prévaloir. Leur mémoire de recours est en effet conclu de la façon suivante :</w:t>
      </w:r>
    </w:p>
    <w:p>
      <w:r>
        <w:t>Les Recourants invitent dès lors respectueusement le Tribunal cantonal à annuler la Décision Attaquée et à réformer celle-ci en ce sens que l'incident de Z _________ est rejeté avec suite de frais et dépens. Le dossier se trouve en effet en état d'être jugé, l'incident formé par Z _________ devant être examiné sur la base des pièces qui ont été produites en première instance. Celles-ci permettent de démontrer qu'il n'existe aucun conflit d'intérêts justifiant de faire interdiction à</w:t>
      </w:r>
    </w:p>
    <w:p>
      <w:r>
        <w:t>- 9 - Me Y _________ de postuler en faveur de X _________. Le principe de célérité impose également que la Décision Attaquée soit réformée, dans la mesure où la cause a d'ores et déjà été renvoyée une première fois par le Tribunal cantonal au premier juge.</w:t>
      </w:r>
    </w:p>
    <w:p>
      <w:r>
        <w:t>Un nouveau renvoi au juge de district pour qu'il permette aux parties de faire valoir leurs observations sur les répliques serait en l'occurrence effectivement peu expédient, les écritures en question ne comportant aucun fait ou moyen de preuve nouveau sur lesquels une détermination de l'adverse partie se serait imposée. L'autorité de céans dispose pour le surplus d'un plein pouvoir d'examen en droit.</w:t>
      </w:r>
    </w:p>
    <w:p>
      <w:r>
        <w:rPr>
          <w:b/>
        </w:rPr>
        <w:t>E. 3</w:t>
      </w:r>
    </w:p>
    <w:p>
      <w:r>
        <w:t>Le juge de district a dénié la capacité de postuler de Me Y _________ pour les motifs suivants, en substance. Me Y _________ n'a certes pas été le conseil de Z _________ S.à r.l. Si celle-ci a repris la dette d'honoraires de X _________ SA, elle n'est pas devenue sa cliente de ce seul fait. Cela étant, Z _________ S.à r.l. a transmis à l'avocat des informations nécessaires à la rédaction du contrat. Ce dernier peut utiliser ces informations et le contrat litigieux pour fonder la demande de X _________ SA. Sans être l'avocat de Z _________ S.à r.l., il a conseillé les deux parties lors de la rédaction du contrat. Il ne peut ainsi ensuite attaquer l'une d'elles dans une affaire en lien avec cette convention. En outre, les intérêts personnels de Me Y _________ sont en conflit avec ceux de X _________ SA de même qu'avec ceux de Z _________ S.à r.l., car la partie qui perdra le procès pourra éventuellement se retourner contre lui en raison de son activité lors de la rédaction du contrat. Enfin, il pourra être amené à témoigner dans la procédure au fond, son droit de refus de collaborer ne lui ôtant pas le statut de témoin.</w:t>
      </w:r>
    </w:p>
    <w:p>
      <w:r>
        <w:rPr>
          <w:b/>
        </w:rPr>
        <w:t>E. 4.1</w:t>
      </w:r>
    </w:p>
    <w:p>
      <w:r>
        <w:t>Selon les recourants, le premier juge a correctement retenu que Z _________ S.à r.l. n'a pas été la cliente de Me Y _________. Contre toute attente, il a néanmoins considéré qu'il a conseillé les deux parties lors de la rédaction du contrat, de sorte qu'il ne peut attaquer l'une d'elles en lien avec ce contrat. Les recourants estiment que, ce faisant, le magistrat a violé l'article 12 lit. c LLCA. Soit Me Y _________ n'a jamais été l'avocat de Z _________ S.à r.l., de sorte que celle-ci ne peut se prévaloir d'un conflit d'intérêts. Soit il l'a été et la problématique d'un conflit d'intérêts peut se poser. Une troisième voie, soit celle envisagée dans la décision attaquée, n'est pas possible. Au sens de l'article 12 let. c LLCA, un conflit d'intérêts ne saurait exister lorsqu'un avocat représente un client dans le cadre de pourparlers contractuels avec une partie qui n'était pas représentée et se charge ensuite de représenter ce même client dans le cadre d'un litige survenant à</w:t>
      </w:r>
    </w:p>
    <w:p>
      <w:r>
        <w:t>- 10 - propos de l'exécution du contrat. Lorsqu'il intervient dans une situation de ce type, l'avocat ne conclut aucun mandat avec le futur partenaire de son client. Il n'est dès lors tenu par aucune obligation de fidélité ou de secret à l'endroit dudit futur partenaire contractuel. Les recourants soutiennent par ailleurs que la décision attaquée établit arbitrairement les faits en retenant que Me Y _________ a donné des conseils à Z _________ S.à r.l. et reçu de celle-ci des informations privilégiées dont X _________ SA pourrait faire usage. Selon eux, ces constatations ne reposent sur aucun élément au dossier.</w:t>
      </w:r>
    </w:p>
    <w:p>
      <w:r>
        <w:rPr>
          <w:b/>
        </w:rPr>
        <w:t>E. 4.2</w:t>
      </w:r>
    </w:p>
    <w:p>
      <w:r>
        <w:t>L'intimée soutient pour sa part que, quoi qu'ait retenu le juge de district, Me Y _________ a bien été son mandataire dans le cadre de l'acquisition de l'avion, de sorte qu'il ne saurait représenter X _________ SA dans le procès que celle-ci a engagée contre elle. Le ferait-il qu'il violerait l'article 12 LLCA, qui exige de l'avocat qu'il exerce son activité en toute indépendance (let. b), et lui impose d'éviter tout conflit d'intérêts (let. c).</w:t>
      </w:r>
    </w:p>
    <w:p>
      <w:r>
        <w:rPr>
          <w:b/>
        </w:rPr>
        <w:t>E. 4.3</w:t>
      </w:r>
    </w:p>
    <w:p>
      <w:r>
        <w:t>Parmi les règles professionnelles que doit respecter l'avocat, l'article 12 let. c LLCA prévoit que celui-ci doit éviter tout conflit entre les intérêts de son client et ceux des personnes avec lesquelles il est en relation sur le plan professionnel ou privé (art. 12 let. c LLCA). L'obligation de renoncer à représenter un mandant en cas de conflit d'intérêts est une règle cardinale de la profession d'avocat (ATF 138 II 162 consid. 2.4 et la référence). Elle est en lien avec la clause générale de l'article 12 let. a LLCA, selon laquelle l'avocat exerce sa profession avec soin et diligence, de même qu'avec l'obligation d'indépendance rappelée à l'article 12 let. b LLCA (ATF 134 II 108 consid. 3; arrêt 2C_688/2009 du 25 mars 2010 consid. 3.1).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141 IV 257 consid. 2.1).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w:t>
      </w:r>
    </w:p>
    <w:p>
      <w:r>
        <w:t>- 11 - de celle-ci (ATF 141 IV 257 consid. 2.1).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ll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(arrêts 1B_59/2018 du 31 mai 2018 consid. 2.4; 1B_20/2017 du 23 février 2017 consid. 3.1). Dès que le conflit d'intérêts survient, l'avocat doit mettre fin à la représentation (ATF 135 II 145 consid. 9.1; 134 II 108 consid. 4.2.1). Le conseil en faveur de deux ou plusieurs parties est admis lorsque leurs intérêts sont convergents, même s'ils sont potentiellement opposés (BOHNET/MARTENET, Droit de la profession d'avocat, 2009, no 1408). S'il a conseillé deux parties, il ne peut pas ensuite attaquer l'une d'elles, pour l'autre partie ou des tiers, dans une affaire en lien avec celle pour laquelle il a prodigué des conseils (BOHNET/MARTENET, op. cit., no 1411). Il a été jugé que, sauf circonstances exceptionnelles, l'avocat qui, mandaté par un conjoint, propose une convention réglant le litige à l'amiable, se trouve, si cet accord aboutit et si l'autre partie assume une partie de ses honoraires, dans une situation qui l'empêche d'intervenir contre l'un des deux en cas de procédure contradictoire ultérieure si les faits dont il a eu connaissance dans le cadre du premier litige peuvent avoir une incidence dans la résolution du suivant (BOHNET/MARTENET, op. cit., no 1407, et à la réf. à l'arrêt paru à la RJN 2008 p. 407 ss).</w:t>
      </w:r>
    </w:p>
    <w:p>
      <w:r>
        <w:rPr>
          <w:b/>
        </w:rPr>
        <w:t>E. 4.4.1</w:t>
      </w:r>
    </w:p>
    <w:p>
      <w:r>
        <w:t>En l'occurrence, Me Y _________ a effectivement été mandaté par X _________ SA, étant précisé qu'aucune procuration ou convention précisant l'objet du mandat n'a été déposée. Lorsque I _________ (représentant de X _________ SA) a écrit à B _________, le 7 février 2017, que Me Y _________ était "notre" avocat (dossier XXX C3 20 xx p. xx), il sous-entendait vraisemblablement qu'il s'agissait de l'avocat de X _________ SA, et non de l'avocat commun de celle-ci et de Z _________ SA (ou de toute société du groupe Z _________). Me Y _________ lui-même a précisé à B _________, dans un email du 9 février 2017 concernant le versement d'un acompte</w:t>
      </w:r>
    </w:p>
    <w:p>
      <w:r>
        <w:t>- 12 - de 150'000 fr. dû par Z _________ SA à X _________ SA, qu'il "intervenait comme avocat de Starjet, et non comme tiers séquestre" (dossier XXX C3 20 xx p. xx). Cela étant, les recourants se trompent lorsqu'ils affirment qu'il ne ressort pas des actes de la cause que Me Y _________ a néanmoins fourni des conseils aux sociétés du groupe Z _________ dans une mesure susceptible de l'empêcher de représenter X _________ SA dans le procès introduit contre Z _________ S.à r.l. La liste détaillée des prestations de l'avocat (XXX C3 20 xx p. xx ss) révèle que celui-ci, qui a activement participé à la rédaction/négociation, notamment, de la lettre d'intention du 20 février 2017, de l'"Aircraft management and brokerage agreement" du 17 juillet 2017, de l'"Aircraft Dry-Lease-Agreement" signé le 21 juillet 2017 et de l'"Aircraft Operating Management Agreement", a eu, à cet effet, des échanges très nombreux, par oral et par écrit, avec B _________, directeur de Z _________ SA, auquel on a communiqué qu'il pouvait poser toute question à l'avocat (cf. le mail précité du 7 février 2017 de I _________ : "B _________, Maître Y _________ est notre avocat ne te gene pas de lui demander tous les infos que tu as besoins".). Z _________ SA n'avait pas elle-même mandaté d'avocat pour la représenter, respectivement représenter toute société du groupe Z _________, face à X _________ SA. Elle s'est certes, le 7 juillet 2017, assurée les services du cabinet C _________ T _________ (Mes L _________, O _________ et P _________), mais seulement pour la constitution de la société de droit C _________ (voir la procuration rédigée par T _________ et signée par B _________ : "We will provide legal assistance with regard to the incorporation of a C _________ private limited liability company, whose purpose will be to acquire and hold an aircraft."; dos. C3 20 xx p. xxx). Z _________ S.à r.l., fraîchement constituée, a bien, le 21 juillet 2017, confié à Me Q _________, avocat au sein de l'Etude R _________, à G _________, un mandat, mais celui-ci était limité à l'objet suivant : "Contacts avec l'Administration fédérale des douanes ainsi qu'avec l'Administration fédérale des contributions, Division principale de la TVA en relation avec l'aéronef Cessna" (dossier C3 20 xx p. xx). C'est dire que les hommes de loi formellement mandatés par les sociétés de Z _________ Group l'ont été pour des questions particulières ne portant pas directement sur les relations contractuelles entre Z _________ S.à r.l. et X _________ SA. L'email du 25 juin 2020, rédigé par B _________ sur interpellation de Me Y _________ pour les besoins de la présente cause, ne démontre pas le contraire. Son auteur y écrit certes ce qui suit : "Pour ce qui est de ta question, en effet, tu as toujours été clair que tu défendais les intérêts de X _________. Je ne comprends pas ce qu'ils peuvent te reprocher. De plus, Z _________ Sàrl a été constituée au C _________ et un avocat sur place m'a épaulé lors de la transaction (je crois un avocat de S _________ ou T _________ si ma mémoire est bonne) en plus de l'étude U _________ à</w:t>
      </w:r>
    </w:p>
    <w:p>
      <w:r>
        <w:t>- 13 - A _________. Ça ne me pose pas de problème de le confirmer au Tribunal si nécessaire"; (dossier XXX C3 20 xx p. xx). On a vu toutefois la portée limitée du mandat confié à T _________. Quant à une intervention de l'Etude de Mes U _________, avocats à A _________, même si elle est possible, elle ne ressort pas des actes de la cause. Si ces derniers avaient fourni une assistance substantielle aux sociétés du groupe Z _________, pour s'assurer que les intérêts de celles-ci étaient préservés face à X _________ SA, B _________ n'aurait pas manqué de l'affirmer clairement. On relèvera que ce dernier semble, à teneur de son mail précité non intégralement reproduit, en conflit avec le groupe Z _________, au sein duquel il n'œuvre plus. La force de conviction du contenu de son mail du 25 juin 2020 s'en trouve réduite. Par ailleurs, Me Y _________ a assuré un certain suivi pour la constitution de la société Z _________ S.à r.l. (voir décompte détaillé dossier XXX C3 20 xx p. xx ss; notamment : prestations du 25 mai 2017 : "Suivi concernant constitution C _________"; prestations du 20 juin 2017 : "Revoir documents pour constitution Z _________; message à T _________ et à B _________; vérifier offre domiciliataire et envoi à B _________"), qui ne concernait pas directement X _________ SA. Il a en outre négocié et participé à la rédaction de l'"Aircraft Dry-Lease-Agreement" et de l'"Aircraft Operating Management Agreement", conclus entre Z _________ S.à r.l. et D _________ GmbH (voir décompte précité; prestations, notamment, du 1er mai 2017 : "Examen projet de contrats avec D _________ (operation et dry lease)"; prestations du 29 juin 2017 : "revoir et modifier projet de contrat avec D _________"), auxquels, à nouveau, X _________ n'était pas immédiatement intéressée, n'y étant pas partie. L'avocat s'est, postérieurement, chargé d'un certain suivi de ces contrats (voir décompte précité; prestations du 22 août 2017 : "Reprendre dossier, message à B _________ concernant Management Agreement; entretien avec I _________ et D _________ concernant contrat d'entretien").</w:t>
      </w:r>
    </w:p>
    <w:p>
      <w:r>
        <w:rPr>
          <w:b/>
        </w:rPr>
        <w:t>E. 4.4.2</w:t>
      </w:r>
    </w:p>
    <w:p>
      <w:r>
        <w:t>Il ressort des considérations qui précèdent que l'activité déployée par l'avocat a excédé la fourniture de conseil à la seule X _________ SA. Puisque cette dernière a négocié pour Z _________ S.à r.l. (cf. let. E du préambule de l'"Aircraft management and brokerage agreement"; voir également supra, consid. A in fine), les contrats avec D _________ GmbH, elle a dû - ou, à tout le moins, devait - défendre les intérêts de la société C _________, et l'avocat qu'elle avait mandaté également. Comme on l'a vu, ce dernier a fourni en outre des conseils pour la constitution de Z _________ S.à r.l. La confiance que les sociétés du groupe Z _________ étaient, dans ce contexte, en droit de placer - et ont sans doute effectivement placée - en Me Y _________, qui n'était pas un employé de X _________ SA mais un avocat inscrit au registre, s'étendait à l'ensemble de l'activité déployée par ce dernier dans le cadre de l'acquisition et de</w:t>
      </w:r>
    </w:p>
    <w:p>
      <w:r>
        <w:t>- 14 - l'exploitation de l'avion; y compris, partant, pour l'établissement de l'"Aircraft management and brokerage agreement", au centre du procès introduit par X _________ SA. On voit mal que l'avocat pût travailler à défendre les intérêts des sociétés du groupe Z _________ dans ses relations avec D _________ GmbH et les ignorer au profit de ceux exclusifs de X _________ SA pour la conclusion du contrat entre cette dernière et Z _________ S.à r.l., respectivement que cette dernière pût s'accommoder de pareille situation. Les liens entre les contrats conclus par Z _________ S.à r.l. avec D _________ GmbH d'une part et avec X _________ d'autre part - cette dernière devant superviser, dans l'intérêt de la société propriétaire de l'avion, l'exploitation confiée par celle-ci à la tierce opératrice - empêchent d'isoler une activité de l'avocat qui concernerait X _________ SA d'une autre menée pour Z _________ S.à r.l. Me Y _________ a au reste, même s'il a dans un premier temps établi sa note d'honoraires au nom de X _________ SA, été payé intégralement par le groupe Z _________, après contrôle, par celui-ci, que les prestations effectuées le concernaient et qu'elles étaient justifiées (cf. supra, consid. C). Cette prise en charge, représentant plus de 60'000 fr., constituait à n'en pas douter une expression de la confiance placée en l'avocat et de la reconnaissance que son activité avait été exercée conformément aux intérêts du groupe. Dans le cas contraire, on comprendrait mal que celui-ci ait accepté de régler la facture émise par l'avocat, même si ce règlement ne relevait par hypothèse que d'une reprise de la dette de X _________ SA envers l'avocat. La question, d'ailleurs, de savoir si un mandat a été conclu entre Me Y _________ et Z _________ SA et/ou toute société de Z _________ Group, notamment Z _________ S.à r.l.- le cas échéant tacitement, éventuellement sous la forme d'un mandat confié conjointement avec X _________ SA -, auquel cas le paiement de ses honoraires est intervenu sur cette base, ou si ce paiement résulte d'une reprise de dette, peut rester ouverte. Ce qui est déterminant, c'est que l'avocat a fourni une certaine assistance juridique aux sociétés du groupe Z _________ dans le cadre de l'acquisition de l'avion et de son exploitation, assistance pour laquelle il a été intégralement payé (à quelque titre que ce soit) par ces sociétés directement. Il faut, conformément aux considérations émises supra (consid. 4.3 in fine), réserver à cet état de fait le même traitement que si les sociétés du groupe Z _________ avaient elles-mêmes mandaté l'avocat. Ainsi, l'activité de conseil que Me Y _________ a déployée tant dans l'intérêt de X _________ SA que dans celui des sociétés du groupe Z _________ dans le cadre de</w:t>
      </w:r>
    </w:p>
    <w:p>
      <w:r>
        <w:t>- 15 - l'acquisition et de l'exploitation de l'avion Cessna, en particulier sa participation déterminante à l'établissement de l'"Aircraft management and brokerage agreement", l'empêche de représenter la première dans le cadre du procès l'opposant à Z _________ S.à r.l., les prétentions formulées reposant précisément sur ce contrat. Dans pareil contexte, il est superflu de déterminer si l'avocat a été nanti par les sociétés du groupe Z _________ d'informations confidentielles qu'il aurait par hypothèse dû taire à X _________ SA. Dès lors que Z _________ S.à r.l. semble remettre en question le bien-fondé de la rémunération due à X _________ SA selon l'article 4 de l'"Aircraft management and brokerage agreement" (management fee de 60'000 fr.), ce au regard d'autres montants dus par elle en vertu de l'"Aircraft Operating Management Agreement" et couvrant, selon celle-ci, le même service (cf. le courrier du 18 juin 2019 de Z _________ S.à r.l. à X _________ SA déposé par celle-ci à l'appui de sa demande, dossier XXX C1 20 xx p. xx sv.), l'avocat, qui a participé à la rédaction ou à tout le moins négocié l'ensemble des contrats en cause, est d'autant moins apte à assister X _________ SA dans le procès, le montant recherché incluant notamment la rémunération en question. Il pourrait au demeurant être appelé à témoigner. Comme l'a relevé le juge de district, le fait qu'il puisse refuser de collaborer en invoquant le secret professionnel (cf. art. 166 al. 1 let. b CPC) est sans incidence sur son obligation de renoncer à son mandat lorsqu'il doit être entendu comme témoin dans la procédure (RVJ 2004 p. 263 consid. 6a/dd; 1999 p. 199 consid. 2c). C'est dire que le premier juge a dénié la capacité de postuler de Me Y _________ pour X _________ SA dans la cause C1 20 xx à juste titre, et qu'il convient de rejeter le recours, sans qu'il ne soit besoin d'examiner les autres griefs formés par les recourants.</w:t>
      </w:r>
    </w:p>
    <w:p>
      <w:r>
        <w:rPr>
          <w:b/>
        </w:rPr>
        <w:t>E. 5</w:t>
      </w:r>
    </w:p>
    <w:p>
      <w:r>
        <w:t>Les frais sont mis à la charge des recourants qui succombent, solidairement entre eux (art. 106 al. 1 et 3 CPC). Compte tenu du degré usuel de difficulté de la cause, de son ampleur, de la valeur litigieuse de la procédure au fond (plus de 5 millions de francs), ainsi que des principes de la couverture des frais et de l’équivalence des prestations (art. 13 LTar), les frais judiciaires, qui se limitent à l’émolument forfaitaire de décision (art. 95 al. 2 let. b CPC), sont arrêtés à 900 fr. (art. 18 LTar). L'indemnité pour les dépens de l'intimée est fixée à 1000 fr., vu la fourchette prévue à l’article 35 alinéa 2 lettre a LTar et l’activité utilement déployée par son avocat, qui a consisté en la rédaction de la détermination du 9 octobre 2020.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